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0"/>
        <w:ind w:left="259" w:right="259"/>
        <w:jc w:val="left"/>
        <w:widowControl/>
        <w:shd w:fill="17333A"/>
      </w:pPr>
      <w:r>
        <w:rPr>
          <w:rFonts w:ascii="Aptos Display" w:hAnsi="Aptos Display"/>
          <w:b/>
          <w:color w:val="FFFFFF"/>
          <w:sz w:val="44"/>
        </w:rPr>
        <w:t xml:space="preserve">  MOHINDER SINGH SASAN</w:t>
      </w:r>
    </w:p>
    <w:p>
      <w:pPr>
        <w:spacing w:after="0"/>
        <w:ind w:left="259" w:right="259"/>
        <w:jc w:val="left"/>
        <w:widowControl/>
        <w:shd w:fill="17333A"/>
      </w:pPr>
      <w:r>
        <w:rPr>
          <w:rFonts w:ascii="Aptos Display" w:hAnsi="Aptos Display"/>
          <w:b/>
          <w:color w:val="6DD1D5"/>
          <w:sz w:val="27"/>
        </w:rPr>
        <w:t xml:space="preserve">  TECHNOLOGY &amp; CYBERSECURITY EXECUTIVE</w:t>
      </w:r>
    </w:p>
    <w:p>
      <w:pPr>
        <w:spacing w:after="0"/>
        <w:ind w:left="259" w:right="259"/>
        <w:jc w:val="left"/>
        <w:widowControl/>
        <w:shd w:fill="17333A"/>
      </w:pPr>
      <w:r>
        <w:rPr>
          <w:rFonts w:ascii="Aptos" w:hAnsi="Aptos"/>
          <w:b/>
          <w:color w:val="FFFFFF"/>
          <w:sz w:val="18"/>
        </w:rPr>
        <w:t xml:space="preserve">  Cloud Transformation  /  Cybersecurity &amp; GRC  /  Operational Resilience  /  Digital &amp; AI Governance</w:t>
      </w:r>
    </w:p>
    <w:p>
      <w:pPr>
        <w:spacing w:after="0"/>
        <w:ind w:left="259" w:right="259"/>
        <w:jc w:val="left"/>
        <w:widowControl/>
        <w:shd w:fill="17333A"/>
      </w:pPr>
      <w:r>
        <w:rPr>
          <w:rFonts w:ascii="Aptos" w:hAnsi="Aptos"/>
          <w:b/>
          <w:color w:val="C4D4D7"/>
          <w:sz w:val="17"/>
        </w:rPr>
        <w:t xml:space="preserve">  MSc (IT), CISSP, CISM, CISA, PMP, PMI-RMP, CCISO   •   Richmond, BC, Canada</w:t>
      </w:r>
    </w:p>
    <w:p>
      <w:pPr>
        <w:spacing w:after="40" w:before="40"/>
        <w:ind w:left="0" w:right="0"/>
        <w:jc w:val="center"/>
        <w:keepNext/>
        <w:widowControl/>
        <w:shd w:fill="16828B"/>
      </w:pPr>
      <w:r>
        <w:rPr>
          <w:rFonts w:ascii="Aptos" w:hAnsi="Aptos"/>
          <w:b/>
          <w:color w:val="FFFFFF"/>
          <w:sz w:val="17"/>
        </w:rPr>
        <w:t>EXECUTIVE LEADERSHIP  •  ENGINEERING DISCIPLINE  •  RESILIENT OUTCOMES</w:t>
      </w:r>
    </w:p>
    <w:p>
      <w:pPr>
        <w:widowControl/>
        <w:spacing w:after="80"/>
        <w:ind w:left="259"/>
        <w:jc w:val="left"/>
      </w:pPr>
      <w:r>
        <w:rPr>
          <w:rFonts w:ascii="Aptos" w:hAnsi="Aptos"/>
          <w:color w:val="667479"/>
          <w:sz w:val="17"/>
        </w:rPr>
        <w:t>672-514-1723  •  mohinder@thesasans.com  •  ai.singhnet@gmail.com  •  linkedin.com/in/mpssasan</w:t>
      </w:r>
    </w:p>
    <w:tbl>
      <w:tblPr>
        <w:tblW w:type="dxa" w:w="10224"/>
        <w:jc w:val="center"/>
        <w:tblLayout w:type="fixed"/>
        <w:tblLook w:firstColumn="1" w:firstRow="1" w:lastColumn="0" w:lastRow="0" w:noHBand="0" w:noVBand="1" w:val="04A0"/>
      </w:tblPr>
      <w:tblGrid>
        <w:gridCol w:w="2556"/>
        <w:gridCol w:w="2556"/>
        <w:gridCol w:w="2556"/>
        <w:gridCol w:w="2556"/>
      </w:tblGrid>
      <w:tr>
        <w:tc>
          <w:tcPr>
            <w:tcW w:type="dxa" w:w="2556"/>
            <w:shd w:fill="17333A"/>
            <w:tcMar>
              <w:top w:w="90" w:type="dxa"/>
              <w:start w:w="90" w:type="dxa"/>
              <w:bottom w:w="85" w:type="dxa"/>
              <w:end w:w="90" w:type="dxa"/>
            </w:tcMar>
            <w:vAlign w:val="center"/>
          </w:tcPr>
          <w:p>
            <w:pPr>
              <w:spacing w:after="0"/>
              <w:jc w:val="center"/>
            </w:pPr>
            <w:r>
              <w:rPr>
                <w:rFonts w:ascii="Aptos" w:hAnsi="Aptos"/>
                <w:b/>
                <w:color w:val="FFFFFF"/>
                <w:sz w:val="24"/>
              </w:rPr>
              <w:t>$24M</w:t>
            </w:r>
          </w:p>
          <w:p>
            <w:pPr>
              <w:spacing w:after="0"/>
              <w:jc w:val="center"/>
            </w:pPr>
            <w:r>
              <w:rPr>
                <w:rFonts w:ascii="Aptos" w:hAnsi="Aptos"/>
                <w:color w:val="FFFFFF"/>
                <w:sz w:val="14"/>
              </w:rPr>
              <w:t>Technology Portfolio</w:t>
            </w:r>
          </w:p>
        </w:tc>
        <w:tc>
          <w:tcPr>
            <w:tcW w:type="dxa" w:w="2556"/>
            <w:shd w:fill="2A6370"/>
            <w:tcMar>
              <w:top w:w="90" w:type="dxa"/>
              <w:start w:w="90" w:type="dxa"/>
              <w:bottom w:w="85" w:type="dxa"/>
              <w:end w:w="90" w:type="dxa"/>
            </w:tcMar>
            <w:vAlign w:val="center"/>
          </w:tcPr>
          <w:p>
            <w:pPr>
              <w:spacing w:after="0"/>
              <w:jc w:val="center"/>
            </w:pPr>
            <w:r>
              <w:rPr>
                <w:rFonts w:ascii="Aptos" w:hAnsi="Aptos"/>
                <w:b/>
                <w:color w:val="FFFFFF"/>
                <w:sz w:val="24"/>
              </w:rPr>
              <w:t>18</w:t>
            </w:r>
          </w:p>
          <w:p>
            <w:pPr>
              <w:spacing w:after="0"/>
              <w:jc w:val="center"/>
            </w:pPr>
            <w:r>
              <w:rPr>
                <w:rFonts w:ascii="Aptos" w:hAnsi="Aptos"/>
                <w:color w:val="FFFFFF"/>
                <w:sz w:val="14"/>
              </w:rPr>
              <w:t>Technology Professionals</w:t>
            </w:r>
          </w:p>
        </w:tc>
        <w:tc>
          <w:tcPr>
            <w:tcW w:type="dxa" w:w="2556"/>
            <w:shd w:fill="17333A"/>
            <w:tcMar>
              <w:top w:w="90" w:type="dxa"/>
              <w:start w:w="90" w:type="dxa"/>
              <w:bottom w:w="85" w:type="dxa"/>
              <w:end w:w="90" w:type="dxa"/>
            </w:tcMar>
            <w:vAlign w:val="center"/>
          </w:tcPr>
          <w:p>
            <w:pPr>
              <w:spacing w:after="0"/>
              <w:jc w:val="center"/>
            </w:pPr>
            <w:r>
              <w:rPr>
                <w:rFonts w:ascii="Aptos" w:hAnsi="Aptos"/>
                <w:b/>
                <w:color w:val="FFFFFF"/>
                <w:sz w:val="24"/>
              </w:rPr>
              <w:t>$2B</w:t>
            </w:r>
          </w:p>
          <w:p>
            <w:pPr>
              <w:spacing w:after="0"/>
              <w:jc w:val="center"/>
            </w:pPr>
            <w:r>
              <w:rPr>
                <w:rFonts w:ascii="Aptos" w:hAnsi="Aptos"/>
                <w:color w:val="FFFFFF"/>
                <w:sz w:val="14"/>
              </w:rPr>
              <w:t>Public-Service Mandate</w:t>
            </w:r>
          </w:p>
        </w:tc>
        <w:tc>
          <w:tcPr>
            <w:tcW w:type="dxa" w:w="2556"/>
            <w:shd w:fill="2A6370"/>
            <w:tcMar>
              <w:top w:w="90" w:type="dxa"/>
              <w:start w:w="90" w:type="dxa"/>
              <w:bottom w:w="85" w:type="dxa"/>
              <w:end w:w="90" w:type="dxa"/>
            </w:tcMar>
            <w:vAlign w:val="center"/>
          </w:tcPr>
          <w:p>
            <w:pPr>
              <w:spacing w:after="0"/>
              <w:jc w:val="center"/>
            </w:pPr>
            <w:r>
              <w:rPr>
                <w:rFonts w:ascii="Aptos" w:hAnsi="Aptos"/>
                <w:b/>
                <w:color w:val="FFFFFF"/>
                <w:sz w:val="24"/>
              </w:rPr>
              <w:t>32,000+</w:t>
            </w:r>
          </w:p>
          <w:p>
            <w:pPr>
              <w:spacing w:after="0"/>
              <w:jc w:val="center"/>
            </w:pPr>
            <w:r>
              <w:rPr>
                <w:rFonts w:ascii="Aptos" w:hAnsi="Aptos"/>
                <w:color w:val="FFFFFF"/>
                <w:sz w:val="14"/>
              </w:rPr>
              <w:t>Adults Supported</w:t>
            </w:r>
          </w:p>
        </w:tc>
      </w:tr>
    </w:tbl>
    <w:p>
      <w:pPr>
        <w:pStyle w:val="ResumeSection"/>
        <w:widowControl/>
        <w:pBdr>
          <w:left w:val="single" w:sz="10" w:space="4" w:color="16828B"/>
          <w:bottom w:val="single" w:sz="4" w:space="4" w:color="16828B"/>
        </w:pBdr>
      </w:pPr>
      <w:r>
        <w:t>EXECUTIVE PROFILE</w:t>
      </w:r>
    </w:p>
    <w:p>
      <w:pPr>
        <w:widowControl/>
        <w:spacing w:after="80"/>
      </w:pPr>
      <w:r>
        <w:rPr>
          <w:rFonts w:ascii="Aptos" w:hAnsi="Aptos"/>
          <w:color w:val="202A2D"/>
          <w:sz w:val="18"/>
        </w:rPr>
        <w:t>Enterprise technology and cybersecurity executive with 30+ years of progressive leadership across public-sector, energy, technology, healthcare and consulting environments. Leads strategy, AWS and Azure cloud modernization, cybersecurity and GRC, AI governance, platform transformation and resilient IT operations while translating complex technology risks into clear business decisions. Trusted advisor to senior leadership, boards, and finance and audit committees; recognized for building capable teams, aligning investments with organizational priorities, and delivering secure, scalable services in highly accountable, mission-driven environments.</w:t>
      </w:r>
    </w:p>
    <w:p>
      <w:pPr>
        <w:pStyle w:val="ResumeSection"/>
        <w:widowControl/>
        <w:pBdr>
          <w:left w:val="single" w:sz="10" w:space="4" w:color="16828B"/>
          <w:bottom w:val="single" w:sz="4" w:space="4" w:color="16828B"/>
        </w:pBdr>
      </w:pPr>
      <w:r>
        <w:t>LEADERSHIP PORTFOLIO</w:t>
      </w:r>
    </w:p>
    <w:tbl>
      <w:tblPr>
        <w:tblW w:type="dxa" w:w="10224"/>
        <w:jc w:val="center"/>
        <w:tblLayout w:type="fixed"/>
        <w:tblLook w:firstColumn="1" w:firstRow="1" w:lastColumn="0" w:lastRow="0" w:noHBand="0" w:noVBand="1" w:val="04A0"/>
      </w:tblPr>
      <w:tblGrid>
        <w:gridCol w:w="5112"/>
        <w:gridCol w:w="5112"/>
      </w:tblGrid>
      <w:tr>
        <w:tc>
          <w:tcPr>
            <w:tcW w:type="dxa" w:w="5112"/>
            <w:tcMar>
              <w:top w:w="55" w:type="dxa"/>
              <w:start w:w="100" w:type="dxa"/>
              <w:bottom w:w="55" w:type="dxa"/>
              <w:end w:w="100" w:type="dxa"/>
            </w:tcMar>
            <w:vAlign w:val="center"/>
            <w:shd w:fill="2A6370"/>
          </w:tcPr>
          <w:p>
            <w:pPr>
              <w:spacing w:after="0"/>
            </w:pPr>
            <w:r>
              <w:rPr>
                <w:rFonts w:ascii="Aptos" w:hAnsi="Aptos"/>
                <w:b/>
                <w:color w:val="FFFFFF"/>
                <w:sz w:val="17"/>
              </w:rPr>
              <w:t>Enterprise Strategy</w:t>
            </w:r>
          </w:p>
        </w:tc>
        <w:tc>
          <w:tcPr>
            <w:tcW w:type="dxa" w:w="5112"/>
            <w:tcMar>
              <w:top w:w="55" w:type="dxa"/>
              <w:start w:w="100" w:type="dxa"/>
              <w:bottom w:w="55" w:type="dxa"/>
              <w:end w:w="100" w:type="dxa"/>
            </w:tcMar>
            <w:vAlign w:val="center"/>
          </w:tcPr>
          <w:p>
            <w:pPr>
              <w:spacing w:after="0"/>
            </w:pPr>
            <w:r>
              <w:rPr>
                <w:rFonts w:ascii="Aptos" w:hAnsi="Aptos"/>
                <w:b w:val="0"/>
                <w:color w:val="202A2D"/>
                <w:sz w:val="16"/>
              </w:rPr>
              <w:t>Technology strategy &amp; roadmaps • Portfolio leadership • Digital transformation • Business cases • Executive advisory</w:t>
            </w:r>
          </w:p>
        </w:tc>
      </w:tr>
      <w:tr>
        <w:tc>
          <w:tcPr>
            <w:tcW w:type="dxa" w:w="5112"/>
            <w:tcMar>
              <w:top w:w="55" w:type="dxa"/>
              <w:start w:w="100" w:type="dxa"/>
              <w:bottom w:w="55" w:type="dxa"/>
              <w:end w:w="100" w:type="dxa"/>
            </w:tcMar>
            <w:vAlign w:val="center"/>
            <w:shd w:fill="2A6370"/>
          </w:tcPr>
          <w:p>
            <w:pPr>
              <w:spacing w:after="0"/>
            </w:pPr>
            <w:r>
              <w:rPr>
                <w:rFonts w:ascii="Aptos" w:hAnsi="Aptos"/>
                <w:b/>
                <w:color w:val="FFFFFF"/>
                <w:sz w:val="17"/>
              </w:rPr>
              <w:t>Cybersecurity &amp; Governance</w:t>
            </w:r>
          </w:p>
        </w:tc>
        <w:tc>
          <w:tcPr>
            <w:tcW w:type="dxa" w:w="5112"/>
            <w:tcMar>
              <w:top w:w="55" w:type="dxa"/>
              <w:start w:w="100" w:type="dxa"/>
              <w:bottom w:w="55" w:type="dxa"/>
              <w:end w:w="100" w:type="dxa"/>
            </w:tcMar>
            <w:vAlign w:val="center"/>
          </w:tcPr>
          <w:p>
            <w:pPr>
              <w:spacing w:after="0"/>
            </w:pPr>
            <w:r>
              <w:rPr>
                <w:rFonts w:ascii="Aptos" w:hAnsi="Aptos"/>
                <w:b w:val="0"/>
                <w:color w:val="202A2D"/>
                <w:sz w:val="16"/>
              </w:rPr>
              <w:t>Cybersecurity strategy • GRC • Zero Trust • IAM • AI governance • Privacy and risk assessments • Audit readiness • Policy governance</w:t>
            </w:r>
          </w:p>
        </w:tc>
      </w:tr>
      <w:tr>
        <w:tc>
          <w:tcPr>
            <w:tcW w:type="dxa" w:w="5112"/>
            <w:tcMar>
              <w:top w:w="55" w:type="dxa"/>
              <w:start w:w="100" w:type="dxa"/>
              <w:bottom w:w="55" w:type="dxa"/>
              <w:end w:w="100" w:type="dxa"/>
            </w:tcMar>
            <w:vAlign w:val="center"/>
            <w:shd w:fill="2A6370"/>
          </w:tcPr>
          <w:p>
            <w:pPr>
              <w:spacing w:after="0"/>
            </w:pPr>
            <w:r>
              <w:rPr>
                <w:rFonts w:ascii="Aptos" w:hAnsi="Aptos"/>
                <w:b/>
                <w:color w:val="FFFFFF"/>
                <w:sz w:val="17"/>
              </w:rPr>
              <w:t>Cloud &amp; Operations</w:t>
            </w:r>
          </w:p>
        </w:tc>
        <w:tc>
          <w:tcPr>
            <w:tcW w:type="dxa" w:w="5112"/>
            <w:tcMar>
              <w:top w:w="55" w:type="dxa"/>
              <w:start w:w="100" w:type="dxa"/>
              <w:bottom w:w="55" w:type="dxa"/>
              <w:end w:w="100" w:type="dxa"/>
            </w:tcMar>
            <w:vAlign w:val="center"/>
          </w:tcPr>
          <w:p>
            <w:pPr>
              <w:spacing w:after="0"/>
            </w:pPr>
            <w:r>
              <w:rPr>
                <w:rFonts w:ascii="Aptos" w:hAnsi="Aptos"/>
                <w:b w:val="0"/>
                <w:color w:val="202A2D"/>
                <w:sz w:val="16"/>
              </w:rPr>
              <w:t>AWS &amp; Azure architecture • Hybrid cloud • M365 and Entra ID • Kubernetes • Platform modernization • ITIL • DevSecOps</w:t>
            </w:r>
          </w:p>
        </w:tc>
      </w:tr>
      <w:tr>
        <w:tc>
          <w:tcPr>
            <w:tcW w:type="dxa" w:w="5112"/>
            <w:tcMar>
              <w:top w:w="55" w:type="dxa"/>
              <w:start w:w="100" w:type="dxa"/>
              <w:bottom w:w="55" w:type="dxa"/>
              <w:end w:w="100" w:type="dxa"/>
            </w:tcMar>
            <w:vAlign w:val="center"/>
            <w:shd w:fill="2A6370"/>
          </w:tcPr>
          <w:p>
            <w:pPr>
              <w:spacing w:after="0"/>
            </w:pPr>
            <w:r>
              <w:rPr>
                <w:rFonts w:ascii="Aptos" w:hAnsi="Aptos"/>
                <w:b/>
                <w:color w:val="FFFFFF"/>
                <w:sz w:val="17"/>
              </w:rPr>
              <w:t>Resilience &amp; Leadership</w:t>
            </w:r>
          </w:p>
        </w:tc>
        <w:tc>
          <w:tcPr>
            <w:tcW w:type="dxa" w:w="5112"/>
            <w:tcMar>
              <w:top w:w="55" w:type="dxa"/>
              <w:start w:w="100" w:type="dxa"/>
              <w:bottom w:w="55" w:type="dxa"/>
              <w:end w:w="100" w:type="dxa"/>
            </w:tcMar>
            <w:vAlign w:val="center"/>
          </w:tcPr>
          <w:p>
            <w:pPr>
              <w:spacing w:after="0"/>
            </w:pPr>
            <w:r>
              <w:rPr>
                <w:rFonts w:ascii="Aptos" w:hAnsi="Aptos"/>
                <w:b w:val="0"/>
                <w:color w:val="202A2D"/>
                <w:sz w:val="16"/>
              </w:rPr>
              <w:t>Cyber resilience • DR/BCP • Vendor and financial management • Succession planning • Board and committee communications</w:t>
            </w:r>
          </w:p>
        </w:tc>
      </w:tr>
    </w:tbl>
    <w:p>
      <w:pPr>
        <w:pStyle w:val="ResumeSection"/>
        <w:widowControl/>
        <w:pBdr>
          <w:left w:val="single" w:sz="10" w:space="4" w:color="16828B"/>
          <w:bottom w:val="single" w:sz="4" w:space="4" w:color="16828B"/>
        </w:pBdr>
      </w:pPr>
      <w:r>
        <w:t>EXECUTIVE IMPACT</w:t>
      </w:r>
    </w:p>
    <w:p>
      <w:pPr>
        <w:pStyle w:val="ResumeBullet"/>
        <w:widowControl/>
      </w:pPr>
      <w:r>
        <w:rPr>
          <w:rFonts w:ascii="Aptos" w:hAnsi="Aptos"/>
          <w:color w:val="202A2D"/>
          <w:sz w:val="18"/>
        </w:rPr>
        <w:t>Direct a $24M annual technology portfolio—$9M capital and $15M operating—balancing modernization, cyber risk, service reliability, workforce capacity and fiscal stewardship.</w:t>
      </w:r>
    </w:p>
    <w:p>
      <w:pPr>
        <w:pStyle w:val="ResumeBullet"/>
        <w:widowControl/>
      </w:pPr>
      <w:r>
        <w:rPr>
          <w:rFonts w:ascii="Aptos" w:hAnsi="Aptos"/>
          <w:color w:val="202A2D"/>
          <w:sz w:val="18"/>
        </w:rPr>
        <w:t>Lead an 18-person multidisciplinary technology organization through three direct-report managers spanning operations, security and release management, enabling a province-wide workforce of approximately 900 staff.</w:t>
      </w:r>
    </w:p>
    <w:p>
      <w:pPr>
        <w:pStyle w:val="ResumeBullet"/>
        <w:widowControl/>
      </w:pPr>
      <w:r>
        <w:rPr>
          <w:rFonts w:ascii="Aptos" w:hAnsi="Aptos"/>
          <w:color w:val="202A2D"/>
          <w:sz w:val="18"/>
        </w:rPr>
        <w:t>Created integrated 3-, 5- and 10-year technology and cybersecurity roadmaps that connect cloud, security, resilience, workforce and investment priorities to organizational goals.</w:t>
      </w:r>
    </w:p>
    <w:p>
      <w:pPr>
        <w:pStyle w:val="ResumeBullet"/>
        <w:widowControl/>
      </w:pPr>
      <w:r>
        <w:rPr>
          <w:rFonts w:ascii="Aptos" w:hAnsi="Aptos"/>
          <w:color w:val="202A2D"/>
          <w:sz w:val="18"/>
        </w:rPr>
        <w:t>Provide board-ready advice through briefing notes, presentations, dashboards and risk reporting; regularly engage the Executive Leadership Team and Finance and Audit Committee on strategy, investment and cyber resilience.</w:t>
      </w:r>
    </w:p>
    <w:p>
      <w:pPr>
        <w:pStyle w:val="ResumeBullet"/>
        <w:widowControl/>
      </w:pPr>
      <w:r>
        <w:rPr>
          <w:rFonts w:ascii="Aptos" w:hAnsi="Aptos"/>
          <w:color w:val="202A2D"/>
          <w:sz w:val="18"/>
        </w:rPr>
        <w:t>Directed enterprise migrations to AWS and Microsoft 365 while advancing Entra ID, Defender, Zero Trust, cloud governance, DevSecOps and modern service-management practices.</w:t>
      </w:r>
    </w:p>
    <w:p>
      <w:pPr>
        <w:pStyle w:val="ResumeBullet"/>
        <w:widowControl/>
      </w:pPr>
      <w:r>
        <w:rPr>
          <w:rFonts w:ascii="Aptos" w:hAnsi="Aptos"/>
          <w:color w:val="202A2D"/>
          <w:sz w:val="18"/>
        </w:rPr>
        <w:t>Established governance for privacy, security, risk, acceptable use, asset management and technology operations; supported multiple audits without significant findings or material privacy concerns.</w:t>
      </w:r>
    </w:p>
    <w:p>
      <w:pPr>
        <w:pStyle w:val="ResumeSection"/>
        <w:widowControl/>
        <w:pBdr>
          <w:left w:val="single" w:sz="10" w:space="4" w:color="16828B"/>
          <w:bottom w:val="single" w:sz="4" w:space="4" w:color="16828B"/>
        </w:pBdr>
      </w:pPr>
      <w:r>
        <w:t>PROFESSIONAL EXPERIENCE</w:t>
      </w:r>
    </w:p>
    <w:p>
      <w:pPr>
        <w:keepNext/>
        <w:widowControl/>
        <w:tabs>
          <w:tab w:pos="8568" w:val="left"/>
        </w:tabs>
        <w:spacing w:before="100" w:after="0"/>
        <w:jc w:val="left"/>
      </w:pPr>
      <w:r>
        <w:rPr>
          <w:rFonts w:ascii="Aptos" w:hAnsi="Aptos"/>
          <w:b/>
          <w:color w:val="17333A"/>
          <w:sz w:val="21"/>
        </w:rPr>
        <w:t>COMMUNITY LIVING BC (CLBC)</w:t>
      </w:r>
      <w:r>
        <w:rPr>
          <w:rFonts w:ascii="Aptos" w:hAnsi="Aptos"/>
          <w:color w:val="667479"/>
          <w:sz w:val="18"/>
        </w:rPr>
        <w:t xml:space="preserve">  |  Vancouver, British Columbia</w:t>
      </w:r>
      <w:r>
        <w:rPr>
          <w:rFonts w:ascii="Aptos" w:hAnsi="Aptos"/>
          <w:b/>
          <w:color w:val="17333A"/>
          <w:sz w:val="18"/>
        </w:rPr>
        <w:tab/>
        <w:t>2011–Present</w:t>
      </w:r>
    </w:p>
    <w:p>
      <w:pPr>
        <w:keepNext/>
        <w:widowControl/>
        <w:spacing w:before="0" w:after="60"/>
      </w:pPr>
      <w:r>
        <w:rPr>
          <w:rFonts w:ascii="Aptos" w:hAnsi="Aptos"/>
          <w:b/>
          <w:color w:val="16828B"/>
          <w:sz w:val="19"/>
        </w:rPr>
        <w:t>DIRECTOR, IT OPERATIONS &amp; SECURITY</w:t>
      </w:r>
    </w:p>
    <w:p>
      <w:pPr>
        <w:widowControl/>
        <w:spacing w:after="60"/>
      </w:pPr>
      <w:r>
        <w:rPr>
          <w:rFonts w:ascii="Aptos" w:hAnsi="Aptos"/>
          <w:i/>
          <w:color w:val="667479"/>
          <w:sz w:val="18"/>
        </w:rPr>
        <w:t>Provide enterprise leadership for technology operations, cybersecurity, cloud transformation, infrastructure modernization, service delivery, release governance and resilience capabilities for a provincial Crown corporation that administers approximately $2B annually—more than 93% directed to services supporting 32,000 adults with developmental disabilities—and employs approximately 900 staff across British Columbia.</w:t>
      </w:r>
    </w:p>
    <w:p>
      <w:pPr>
        <w:pStyle w:val="ResumeBullet"/>
        <w:widowControl/>
      </w:pPr>
      <w:r>
        <w:rPr>
          <w:rFonts w:ascii="Aptos" w:hAnsi="Aptos"/>
          <w:b/>
          <w:color w:val="202A2D"/>
          <w:sz w:val="18"/>
        </w:rPr>
        <w:t>Strategy &amp; governance —</w:t>
      </w:r>
      <w:r>
        <w:rPr>
          <w:rFonts w:ascii="Aptos" w:hAnsi="Aptos"/>
          <w:color w:val="202A2D"/>
          <w:sz w:val="18"/>
        </w:rPr>
        <w:t xml:space="preserve"> Shape enterprise technology and cybersecurity strategy; maintain multi-horizon roadmaps and advise senior leaders and board committees on risk, investment, performance and transformation priorities.</w:t>
      </w:r>
    </w:p>
    <w:p>
      <w:pPr>
        <w:pStyle w:val="ResumeBullet"/>
        <w:widowControl/>
      </w:pPr>
      <w:r>
        <w:rPr>
          <w:rFonts w:ascii="Aptos" w:hAnsi="Aptos"/>
          <w:b/>
          <w:color w:val="202A2D"/>
          <w:sz w:val="18"/>
        </w:rPr>
        <w:t>Portfolio stewardship —</w:t>
      </w:r>
      <w:r>
        <w:rPr>
          <w:rFonts w:ascii="Aptos" w:hAnsi="Aptos"/>
          <w:color w:val="202A2D"/>
          <w:sz w:val="18"/>
        </w:rPr>
        <w:t xml:space="preserve"> Govern approximately $24M in annual capital and operating expenditures, including cloud services, platforms, managed services, licensing, consulting, infrastructure and workforce investments.</w:t>
      </w:r>
    </w:p>
    <w:p>
      <w:pPr>
        <w:pStyle w:val="ResumeBullet"/>
        <w:widowControl/>
      </w:pPr>
      <w:r>
        <w:rPr>
          <w:rFonts w:ascii="Aptos" w:hAnsi="Aptos"/>
          <w:b/>
          <w:color w:val="202A2D"/>
          <w:sz w:val="18"/>
        </w:rPr>
        <w:t>Organizational leadership —</w:t>
      </w:r>
      <w:r>
        <w:rPr>
          <w:rFonts w:ascii="Aptos" w:hAnsi="Aptos"/>
          <w:color w:val="202A2D"/>
          <w:sz w:val="18"/>
        </w:rPr>
        <w:t xml:space="preserve"> Lead three managers and an 18-person multidisciplinary team of cloud, SysOps, DevOps, DevSecOps, security, IAM, release, project and operational professionals; embed performance planning, development and succession practices.</w:t>
      </w:r>
    </w:p>
    <w:p>
      <w:pPr>
        <w:pStyle w:val="ResumeBullet"/>
        <w:widowControl/>
      </w:pPr>
      <w:r>
        <w:rPr>
          <w:rFonts w:ascii="Aptos" w:hAnsi="Aptos"/>
          <w:b/>
          <w:color w:val="202A2D"/>
          <w:sz w:val="18"/>
        </w:rPr>
        <w:t>Cloud transformation —</w:t>
      </w:r>
      <w:r>
        <w:rPr>
          <w:rFonts w:ascii="Aptos" w:hAnsi="Aptos"/>
          <w:color w:val="202A2D"/>
          <w:sz w:val="18"/>
        </w:rPr>
        <w:t xml:space="preserve"> Developed the business case and guided executive approval for migration of enterprise infrastructure and applications to AWS; led procurement of an enterprise agreement and steered architecture, implementation and adoption.</w:t>
      </w:r>
    </w:p>
    <w:p>
      <w:pPr>
        <w:pStyle w:val="ResumeBullet"/>
        <w:widowControl/>
      </w:pPr>
      <w:r>
        <w:rPr>
          <w:rFonts w:ascii="Aptos" w:hAnsi="Aptos"/>
          <w:b/>
          <w:color w:val="202A2D"/>
          <w:sz w:val="18"/>
        </w:rPr>
        <w:t>Secure architecture —</w:t>
      </w:r>
      <w:r>
        <w:rPr>
          <w:rFonts w:ascii="Aptos" w:hAnsi="Aptos"/>
          <w:color w:val="202A2D"/>
          <w:sz w:val="18"/>
        </w:rPr>
        <w:t xml:space="preserve"> Partner with architects and business stakeholders to establish scalable, redundant and cost-conscious hybrid-cloud designs across AWS, Azure, Kubernetes and enterprise platforms, including containerization, Linux and data-platform modernization.</w:t>
      </w:r>
    </w:p>
    <w:p>
      <w:pPr>
        <w:pStyle w:val="ResumeBullet"/>
        <w:widowControl/>
      </w:pPr>
      <w:r>
        <w:rPr>
          <w:rFonts w:ascii="Aptos" w:hAnsi="Aptos"/>
          <w:b/>
          <w:color w:val="202A2D"/>
          <w:sz w:val="18"/>
        </w:rPr>
        <w:t>Modern workplace &amp; AI —</w:t>
      </w:r>
      <w:r>
        <w:rPr>
          <w:rFonts w:ascii="Aptos" w:hAnsi="Aptos"/>
          <w:color w:val="202A2D"/>
          <w:sz w:val="18"/>
        </w:rPr>
        <w:t xml:space="preserve"> Directed adoption of Microsoft 365, Exchange Online, Teams, Entra ID, Defender and Copilot capabilities, supported by identity, endpoint, information-protection and responsible-AI governance controls.</w:t>
      </w:r>
    </w:p>
    <w:p>
      <w:pPr>
        <w:pStyle w:val="ResumeBullet"/>
        <w:widowControl/>
      </w:pPr>
      <w:r>
        <w:rPr>
          <w:rFonts w:ascii="Aptos" w:hAnsi="Aptos"/>
          <w:b/>
          <w:color w:val="202A2D"/>
          <w:sz w:val="18"/>
        </w:rPr>
        <w:t>Cybersecurity &amp; GRC —</w:t>
      </w:r>
      <w:r>
        <w:rPr>
          <w:rFonts w:ascii="Aptos" w:hAnsi="Aptos"/>
          <w:color w:val="202A2D"/>
          <w:sz w:val="18"/>
        </w:rPr>
        <w:t xml:space="preserve"> Established enterprise governance spanning risk management, security operations, vulnerability management, privacy, compliance, policy, audit readiness and executive cyber-risk reporting.</w:t>
      </w:r>
    </w:p>
    <w:p>
      <w:pPr>
        <w:pStyle w:val="ResumeBullet"/>
        <w:widowControl/>
      </w:pPr>
      <w:r>
        <w:rPr>
          <w:rFonts w:ascii="Aptos" w:hAnsi="Aptos"/>
          <w:b/>
          <w:color w:val="202A2D"/>
          <w:sz w:val="18"/>
        </w:rPr>
        <w:t>Risk assurance —</w:t>
      </w:r>
      <w:r>
        <w:rPr>
          <w:rFonts w:ascii="Aptos" w:hAnsi="Aptos"/>
          <w:color w:val="202A2D"/>
          <w:sz w:val="18"/>
        </w:rPr>
        <w:t xml:space="preserve"> Directed Privacy Impact Assessments and Security Threat and Risk Assessments for new and existing solutions; integrated security and privacy decisions into delivery governance.</w:t>
      </w:r>
    </w:p>
    <w:p>
      <w:pPr>
        <w:pStyle w:val="ResumeBullet"/>
        <w:widowControl/>
      </w:pPr>
      <w:r>
        <w:rPr>
          <w:rFonts w:ascii="Aptos" w:hAnsi="Aptos"/>
          <w:b/>
          <w:color w:val="202A2D"/>
          <w:sz w:val="18"/>
        </w:rPr>
        <w:t>Zero Trust &amp; IAM —</w:t>
      </w:r>
      <w:r>
        <w:rPr>
          <w:rFonts w:ascii="Aptos" w:hAnsi="Aptos"/>
          <w:color w:val="202A2D"/>
          <w:sz w:val="18"/>
        </w:rPr>
        <w:t xml:space="preserve"> Advanced identity-centric and least-privilege controls across workforce access, endpoints, networks, applications and cloud services.</w:t>
      </w:r>
    </w:p>
    <w:p>
      <w:pPr>
        <w:pStyle w:val="ResumeBullet"/>
        <w:widowControl/>
      </w:pPr>
      <w:r>
        <w:rPr>
          <w:rFonts w:ascii="Aptos" w:hAnsi="Aptos"/>
          <w:b/>
          <w:color w:val="202A2D"/>
          <w:sz w:val="18"/>
        </w:rPr>
        <w:t>DevSecOps &amp; release governance —</w:t>
      </w:r>
      <w:r>
        <w:rPr>
          <w:rFonts w:ascii="Aptos" w:hAnsi="Aptos"/>
          <w:color w:val="202A2D"/>
          <w:sz w:val="18"/>
        </w:rPr>
        <w:t xml:space="preserve"> Implemented CI/CD, deployment automation, package management, change control and release practices that strengthened delivery consistency and operational accountability.</w:t>
      </w:r>
    </w:p>
    <w:p>
      <w:pPr>
        <w:pStyle w:val="ResumeBullet"/>
        <w:widowControl/>
      </w:pPr>
      <w:r>
        <w:rPr>
          <w:rFonts w:ascii="Aptos" w:hAnsi="Aptos"/>
          <w:b/>
          <w:color w:val="202A2D"/>
          <w:sz w:val="18"/>
        </w:rPr>
        <w:t>Enterprise platforms —</w:t>
      </w:r>
      <w:r>
        <w:rPr>
          <w:rFonts w:ascii="Aptos" w:hAnsi="Aptos"/>
          <w:color w:val="202A2D"/>
          <w:sz w:val="18"/>
        </w:rPr>
        <w:t xml:space="preserve"> Partnered with system integrators and business leaders to design, deploy and operate Salesforce-based services and their integration with cloud and enterprise environments.</w:t>
      </w:r>
    </w:p>
    <w:p>
      <w:pPr>
        <w:pStyle w:val="ResumeBullet"/>
        <w:widowControl/>
      </w:pPr>
      <w:r>
        <w:rPr>
          <w:rFonts w:ascii="Aptos" w:hAnsi="Aptos"/>
          <w:b/>
          <w:color w:val="202A2D"/>
          <w:sz w:val="18"/>
        </w:rPr>
        <w:t>Resilience —</w:t>
      </w:r>
      <w:r>
        <w:rPr>
          <w:rFonts w:ascii="Aptos" w:hAnsi="Aptos"/>
          <w:color w:val="202A2D"/>
          <w:sz w:val="18"/>
        </w:rPr>
        <w:t xml:space="preserve"> Established backup, disaster recovery and business-continuity capabilities using cloud and platform-native services; aligned recovery priorities, operating procedures and testing with business requirements.</w:t>
      </w:r>
    </w:p>
    <w:p>
      <w:pPr>
        <w:pStyle w:val="ResumeBullet"/>
        <w:widowControl/>
      </w:pPr>
      <w:r>
        <w:rPr>
          <w:rFonts w:ascii="Aptos" w:hAnsi="Aptos"/>
          <w:b/>
          <w:color w:val="202A2D"/>
          <w:sz w:val="18"/>
        </w:rPr>
        <w:t>Commercial leadership —</w:t>
      </w:r>
      <w:r>
        <w:rPr>
          <w:rFonts w:ascii="Aptos" w:hAnsi="Aptos"/>
          <w:color w:val="202A2D"/>
          <w:sz w:val="18"/>
        </w:rPr>
        <w:t xml:space="preserve"> Direct complex procurement, vendor selection, contract negotiation, licensing, co-location, professional services and managed-service relationships; hold suppliers accountable for value and performance.</w:t>
      </w:r>
    </w:p>
    <w:p>
      <w:pPr>
        <w:pStyle w:val="ResumeBullet"/>
        <w:widowControl/>
      </w:pPr>
      <w:r>
        <w:rPr>
          <w:rFonts w:ascii="Aptos" w:hAnsi="Aptos"/>
          <w:b/>
          <w:color w:val="202A2D"/>
          <w:sz w:val="18"/>
        </w:rPr>
        <w:t>Capability building —</w:t>
      </w:r>
      <w:r>
        <w:rPr>
          <w:rFonts w:ascii="Aptos" w:hAnsi="Aptos"/>
          <w:color w:val="202A2D"/>
          <w:sz w:val="18"/>
        </w:rPr>
        <w:t xml:space="preserve"> Commissioned role-based AWS, cybersecurity and operational training for leaders and technical teams, accelerating adoption and reducing dependency on individual specialists.</w:t>
      </w:r>
    </w:p>
    <w:p>
      <w:pPr>
        <w:pStyle w:val="ResumeBullet"/>
        <w:widowControl/>
      </w:pPr>
      <w:r>
        <w:rPr>
          <w:rFonts w:ascii="Aptos" w:hAnsi="Aptos"/>
          <w:b/>
          <w:color w:val="202A2D"/>
          <w:sz w:val="18"/>
        </w:rPr>
        <w:t>Policy leadership —</w:t>
      </w:r>
      <w:r>
        <w:rPr>
          <w:rFonts w:ascii="Aptos" w:hAnsi="Aptos"/>
          <w:color w:val="202A2D"/>
          <w:sz w:val="18"/>
        </w:rPr>
        <w:t xml:space="preserve"> Create and maintain policies and standards for information security, technology operations, identity, acceptable use, assets and information protection, aligning operational practices with organizational and government expectations.</w:t>
      </w:r>
    </w:p>
    <w:p>
      <w:pPr>
        <w:pStyle w:val="ResumeSection"/>
        <w:widowControl/>
        <w:pBdr>
          <w:left w:val="single" w:sz="10" w:space="4" w:color="16828B"/>
          <w:bottom w:val="single" w:sz="4" w:space="4" w:color="16828B"/>
        </w:pBdr>
      </w:pPr>
      <w:r>
        <w:t>SELECTED TRANSFORMATION OUTCOMES</w:t>
      </w:r>
    </w:p>
    <w:p>
      <w:pPr>
        <w:pStyle w:val="ResumeBullet"/>
        <w:widowControl/>
      </w:pPr>
      <w:r>
        <w:rPr>
          <w:rFonts w:ascii="Aptos" w:hAnsi="Aptos"/>
          <w:color w:val="202A2D"/>
          <w:sz w:val="18"/>
        </w:rPr>
        <w:t>Modernized enterprise collaboration, identity and security through coordinated M365, Entra ID, Defender and cloud adoption.</w:t>
      </w:r>
    </w:p>
    <w:p>
      <w:pPr>
        <w:pStyle w:val="ResumeBullet"/>
        <w:widowControl/>
      </w:pPr>
      <w:r>
        <w:rPr>
          <w:rFonts w:ascii="Aptos" w:hAnsi="Aptos"/>
          <w:color w:val="202A2D"/>
          <w:sz w:val="18"/>
        </w:rPr>
        <w:t>Improved operational maturity through ITIL-aligned service practices, formal release management, DevSecOps and stronger ownership of renewals, certificates, patching and vendor performance.</w:t>
      </w:r>
    </w:p>
    <w:p>
      <w:pPr>
        <w:pStyle w:val="ResumeBullet"/>
        <w:widowControl/>
      </w:pPr>
      <w:r>
        <w:rPr>
          <w:rFonts w:ascii="Aptos" w:hAnsi="Aptos"/>
          <w:color w:val="202A2D"/>
          <w:sz w:val="18"/>
        </w:rPr>
        <w:t>Strengthened cyber resilience through geographically separated cloud recovery capabilities, tested backup processes, executive-level readiness reporting and integration with business continuity planning.</w:t>
      </w:r>
    </w:p>
    <w:p>
      <w:pPr>
        <w:pStyle w:val="ResumeBullet"/>
        <w:widowControl/>
      </w:pPr>
      <w:r>
        <w:rPr>
          <w:rFonts w:ascii="Aptos" w:hAnsi="Aptos"/>
          <w:color w:val="202A2D"/>
          <w:sz w:val="18"/>
        </w:rPr>
        <w:t>Enabled better executive decisions through business cases, portfolio roadmaps, risk assessments, performance dashboards, briefing notes and board presentations.</w:t>
      </w:r>
    </w:p>
    <w:p>
      <w:pPr>
        <w:keepNext/>
        <w:widowControl/>
        <w:tabs>
          <w:tab w:pos="8568" w:val="left"/>
        </w:tabs>
        <w:spacing w:before="100" w:after="0"/>
        <w:jc w:val="left"/>
      </w:pPr>
      <w:r>
        <w:rPr>
          <w:rFonts w:ascii="Aptos" w:hAnsi="Aptos"/>
          <w:b/>
          <w:color w:val="17333A"/>
          <w:sz w:val="21"/>
        </w:rPr>
        <w:t>ENERFLEX SYSTEMS LTD.</w:t>
      </w:r>
      <w:r>
        <w:rPr>
          <w:rFonts w:ascii="Aptos" w:hAnsi="Aptos"/>
          <w:color w:val="667479"/>
          <w:sz w:val="18"/>
        </w:rPr>
        <w:t xml:space="preserve">  |  Calgary, Alberta</w:t>
      </w:r>
      <w:r>
        <w:rPr>
          <w:rFonts w:ascii="Aptos" w:hAnsi="Aptos"/>
          <w:b/>
          <w:color w:val="17333A"/>
          <w:sz w:val="18"/>
        </w:rPr>
        <w:tab/>
        <w:t>2008–2011</w:t>
      </w:r>
    </w:p>
    <w:p>
      <w:pPr>
        <w:keepNext/>
        <w:widowControl/>
        <w:spacing w:before="0" w:after="60"/>
      </w:pPr>
      <w:r>
        <w:rPr>
          <w:rFonts w:ascii="Aptos" w:hAnsi="Aptos"/>
          <w:b/>
          <w:color w:val="16828B"/>
          <w:sz w:val="19"/>
        </w:rPr>
        <w:t>SENIOR MANAGER, INFRASTRUCTURE &amp; SECURITY</w:t>
      </w:r>
    </w:p>
    <w:p>
      <w:pPr>
        <w:pStyle w:val="ResumeBullet"/>
        <w:widowControl/>
      </w:pPr>
      <w:r>
        <w:rPr>
          <w:rFonts w:ascii="Aptos" w:hAnsi="Aptos"/>
          <w:color w:val="202A2D"/>
          <w:sz w:val="18"/>
        </w:rPr>
        <w:t>Directed enterprise infrastructure and security operations supporting 4,000+ users, 375+ servers and 50+ locations across North America, with accountability for availability, performance, capacity, identity, data protection and service continuity.</w:t>
      </w:r>
    </w:p>
    <w:p>
      <w:pPr>
        <w:pStyle w:val="ResumeBullet"/>
        <w:widowControl/>
      </w:pPr>
      <w:r>
        <w:rPr>
          <w:rFonts w:ascii="Aptos" w:hAnsi="Aptos"/>
          <w:color w:val="202A2D"/>
          <w:sz w:val="18"/>
        </w:rPr>
        <w:t>Built and led a high-performing infrastructure and security team responsible for enterprise platforms, networks, directory and identity services, data centres, operational security, backup and disaster recovery.</w:t>
      </w:r>
    </w:p>
    <w:p>
      <w:pPr>
        <w:pStyle w:val="ResumeBullet"/>
        <w:widowControl/>
      </w:pPr>
      <w:r>
        <w:rPr>
          <w:rFonts w:ascii="Aptos" w:hAnsi="Aptos"/>
          <w:color w:val="202A2D"/>
          <w:sz w:val="18"/>
        </w:rPr>
        <w:t>Led major infrastructure-modernization initiatives supporting rapid organizational growth, ERP deployment, server and storage consolidation, virtualization, platform standardization and improved geographic resilience.</w:t>
      </w:r>
    </w:p>
    <w:p>
      <w:pPr>
        <w:pStyle w:val="ResumeBullet"/>
        <w:widowControl/>
      </w:pPr>
      <w:r>
        <w:rPr>
          <w:rFonts w:ascii="Aptos" w:hAnsi="Aptos"/>
          <w:color w:val="202A2D"/>
          <w:sz w:val="18"/>
        </w:rPr>
        <w:t>Established security standards, risk-assessment practices, access controls and operational governance supporting stronger IT general controls, application controls, audit readiness and protection of enterprise information assets.</w:t>
      </w:r>
    </w:p>
    <w:p>
      <w:pPr>
        <w:pStyle w:val="ResumeBullet"/>
        <w:widowControl/>
      </w:pPr>
      <w:r>
        <w:rPr>
          <w:rFonts w:ascii="Aptos" w:hAnsi="Aptos"/>
          <w:color w:val="202A2D"/>
          <w:sz w:val="18"/>
        </w:rPr>
        <w:t>Introduced ITIL-aligned incident, change, problem and service-management disciplines that improved operational consistency, accountability and reliability across distributed business operations.</w:t>
      </w:r>
    </w:p>
    <w:p>
      <w:pPr>
        <w:pStyle w:val="ResumeBullet"/>
        <w:widowControl/>
      </w:pPr>
      <w:r>
        <w:rPr>
          <w:rFonts w:ascii="Aptos" w:hAnsi="Aptos"/>
          <w:color w:val="202A2D"/>
          <w:sz w:val="18"/>
        </w:rPr>
        <w:t>Developed disaster-recovery and business-continuity capabilities, strengthened backup and recovery processes, and aligned infrastructure recovery priorities with critical business requirements.</w:t>
      </w:r>
    </w:p>
    <w:p>
      <w:pPr>
        <w:pStyle w:val="ResumeBullet"/>
        <w:widowControl/>
      </w:pPr>
      <w:r>
        <w:rPr>
          <w:rFonts w:ascii="Aptos" w:hAnsi="Aptos"/>
          <w:color w:val="202A2D"/>
          <w:sz w:val="18"/>
        </w:rPr>
        <w:t>Led vendor evaluation, technology selection, contract and service-provider oversight, and infrastructure investment planning to improve value, scalability and operational performance.</w:t>
      </w:r>
    </w:p>
    <w:p>
      <w:pPr>
        <w:pStyle w:val="ResumeBullet"/>
        <w:widowControl/>
      </w:pPr>
      <w:r>
        <w:rPr>
          <w:rFonts w:ascii="Aptos" w:hAnsi="Aptos"/>
          <w:color w:val="202A2D"/>
          <w:sz w:val="18"/>
        </w:rPr>
        <w:t>Partnered with business leaders, application teams and external providers to translate operational needs into secure, supportable infrastructure solutions and implementation roadmaps.</w:t>
      </w:r>
    </w:p>
    <w:p>
      <w:pPr>
        <w:keepNext/>
        <w:widowControl/>
        <w:tabs>
          <w:tab w:pos="8568" w:val="left"/>
        </w:tabs>
        <w:spacing w:before="100" w:after="0"/>
        <w:jc w:val="left"/>
      </w:pPr>
      <w:r>
        <w:rPr>
          <w:rFonts w:ascii="Aptos" w:hAnsi="Aptos"/>
          <w:b/>
          <w:color w:val="17333A"/>
          <w:sz w:val="21"/>
        </w:rPr>
        <w:t>POYNT CORPORATION</w:t>
      </w:r>
      <w:r>
        <w:rPr>
          <w:rFonts w:ascii="Aptos" w:hAnsi="Aptos"/>
          <w:color w:val="667479"/>
          <w:sz w:val="18"/>
        </w:rPr>
        <w:t xml:space="preserve">  |  Calgary, Alberta</w:t>
      </w:r>
      <w:r>
        <w:rPr>
          <w:rFonts w:ascii="Aptos" w:hAnsi="Aptos"/>
          <w:b/>
          <w:color w:val="17333A"/>
          <w:sz w:val="18"/>
        </w:rPr>
        <w:tab/>
        <w:t>2006–2008</w:t>
      </w:r>
    </w:p>
    <w:p>
      <w:pPr>
        <w:keepNext/>
        <w:widowControl/>
        <w:spacing w:before="0" w:after="60"/>
      </w:pPr>
      <w:r>
        <w:rPr>
          <w:rFonts w:ascii="Aptos" w:hAnsi="Aptos"/>
          <w:b/>
          <w:color w:val="16828B"/>
          <w:sz w:val="19"/>
        </w:rPr>
        <w:t>MANAGER — INFRASTRUCTURE, APPLICATIONS &amp; SECURITY</w:t>
      </w:r>
    </w:p>
    <w:p>
      <w:pPr>
        <w:pStyle w:val="ResumeBullet"/>
        <w:widowControl/>
      </w:pPr>
      <w:r>
        <w:rPr>
          <w:rFonts w:ascii="Aptos" w:hAnsi="Aptos"/>
          <w:color w:val="202A2D"/>
          <w:sz w:val="18"/>
        </w:rPr>
        <w:t>Designed and operated highly available infrastructure supporting the launch and growth of a multi-award-winning mobile technology platform.</w:t>
      </w:r>
    </w:p>
    <w:p>
      <w:pPr>
        <w:pStyle w:val="ResumeBullet"/>
        <w:widowControl/>
      </w:pPr>
      <w:r>
        <w:rPr>
          <w:rFonts w:ascii="Aptos" w:hAnsi="Aptos"/>
          <w:color w:val="202A2D"/>
          <w:sz w:val="18"/>
        </w:rPr>
        <w:t>Established security architecture, operational governance and risk-management practices suited to a fast-scaling technology business.</w:t>
      </w:r>
    </w:p>
    <w:p>
      <w:pPr>
        <w:pStyle w:val="ResumeBullet"/>
        <w:widowControl/>
      </w:pPr>
      <w:r>
        <w:rPr>
          <w:rFonts w:ascii="Aptos" w:hAnsi="Aptos"/>
          <w:color w:val="202A2D"/>
          <w:sz w:val="18"/>
        </w:rPr>
        <w:t>Managed infrastructure, applications and security priorities across production and corporate environments, balancing rapid delivery with reliability, control and scalability.</w:t>
      </w:r>
    </w:p>
    <w:p>
      <w:pPr>
        <w:pStyle w:val="ResumeBullet"/>
        <w:widowControl/>
      </w:pPr>
      <w:r>
        <w:rPr>
          <w:rFonts w:ascii="Aptos" w:hAnsi="Aptos"/>
          <w:color w:val="202A2D"/>
          <w:sz w:val="18"/>
        </w:rPr>
        <w:t>Partnered with product, software and business leaders to translate growth requirements into architecture, capacity, release and continuity plans.</w:t>
      </w:r>
    </w:p>
    <w:p>
      <w:pPr>
        <w:keepNext/>
        <w:widowControl/>
        <w:tabs>
          <w:tab w:pos="8568" w:val="left"/>
        </w:tabs>
        <w:spacing w:before="100" w:after="0"/>
        <w:jc w:val="left"/>
      </w:pPr>
      <w:r>
        <w:rPr>
          <w:rFonts w:ascii="Aptos" w:hAnsi="Aptos"/>
          <w:b/>
          <w:color w:val="17333A"/>
          <w:sz w:val="21"/>
        </w:rPr>
        <w:t>LOYALTYONE</w:t>
      </w:r>
      <w:r>
        <w:rPr>
          <w:rFonts w:ascii="Aptos" w:hAnsi="Aptos"/>
          <w:color w:val="667479"/>
          <w:sz w:val="18"/>
        </w:rPr>
        <w:t xml:space="preserve">  |  Mississauga, Ontario</w:t>
      </w:r>
      <w:r>
        <w:rPr>
          <w:rFonts w:ascii="Aptos" w:hAnsi="Aptos"/>
          <w:b/>
          <w:color w:val="17333A"/>
          <w:sz w:val="18"/>
        </w:rPr>
        <w:tab/>
        <w:t>2004–2006</w:t>
      </w:r>
    </w:p>
    <w:p>
      <w:pPr>
        <w:keepNext/>
        <w:widowControl/>
        <w:spacing w:before="0" w:after="60"/>
      </w:pPr>
      <w:r>
        <w:rPr>
          <w:rFonts w:ascii="Aptos" w:hAnsi="Aptos"/>
          <w:b/>
          <w:color w:val="16828B"/>
          <w:sz w:val="19"/>
        </w:rPr>
        <w:t>SENIOR SYSTEMS ADMINISTRATOR — INFRASTRUCTURE &amp; SECURITY</w:t>
      </w:r>
    </w:p>
    <w:p>
      <w:pPr>
        <w:pStyle w:val="ResumeBullet"/>
        <w:widowControl/>
      </w:pPr>
      <w:r>
        <w:rPr>
          <w:rFonts w:ascii="Aptos" w:hAnsi="Aptos"/>
          <w:color w:val="202A2D"/>
          <w:sz w:val="18"/>
        </w:rPr>
        <w:t>Led infrastructure and security initiatives for high-volume customer-loyalty environments, strengthening availability, capacity, data protection and service continuity.</w:t>
      </w:r>
    </w:p>
    <w:p>
      <w:pPr>
        <w:pStyle w:val="ResumeBullet"/>
        <w:widowControl/>
      </w:pPr>
      <w:r>
        <w:rPr>
          <w:rFonts w:ascii="Aptos" w:hAnsi="Aptos"/>
          <w:color w:val="202A2D"/>
          <w:sz w:val="18"/>
        </w:rPr>
        <w:t>Implemented governance, change-management and PCI-aligned security-control improvements, supporting audit readiness and disciplined production operations.</w:t>
      </w:r>
    </w:p>
    <w:p>
      <w:pPr>
        <w:pStyle w:val="ResumeBullet"/>
        <w:widowControl/>
      </w:pPr>
      <w:r>
        <w:rPr>
          <w:rFonts w:ascii="Aptos" w:hAnsi="Aptos"/>
          <w:color w:val="202A2D"/>
          <w:sz w:val="18"/>
        </w:rPr>
        <w:t>Partnered with application, database and business teams to resolve complex operational risks and deliver scalable infrastructure improvements.</w:t>
      </w:r>
    </w:p>
    <w:p>
      <w:pPr>
        <w:keepNext/>
        <w:widowControl/>
        <w:tabs>
          <w:tab w:pos="8568" w:val="left"/>
        </w:tabs>
        <w:spacing w:before="100" w:after="0"/>
        <w:jc w:val="left"/>
      </w:pPr>
      <w:r>
        <w:rPr>
          <w:rFonts w:ascii="Aptos" w:hAnsi="Aptos"/>
          <w:b/>
          <w:color w:val="17333A"/>
          <w:sz w:val="21"/>
        </w:rPr>
        <w:t>MICROSOFT CORPORATION</w:t>
      </w:r>
      <w:r>
        <w:rPr>
          <w:rFonts w:ascii="Aptos" w:hAnsi="Aptos"/>
          <w:color w:val="667479"/>
          <w:sz w:val="18"/>
        </w:rPr>
        <w:t xml:space="preserve">  |  Mississauga, Ontario</w:t>
      </w:r>
      <w:r>
        <w:rPr>
          <w:rFonts w:ascii="Aptos" w:hAnsi="Aptos"/>
          <w:b/>
          <w:color w:val="17333A"/>
          <w:sz w:val="18"/>
        </w:rPr>
        <w:tab/>
        <w:t>2002–2004</w:t>
      </w:r>
    </w:p>
    <w:p>
      <w:pPr>
        <w:keepNext/>
        <w:widowControl/>
        <w:spacing w:before="0" w:after="60"/>
      </w:pPr>
      <w:r>
        <w:rPr>
          <w:rFonts w:ascii="Aptos" w:hAnsi="Aptos"/>
          <w:b/>
          <w:color w:val="16828B"/>
          <w:sz w:val="19"/>
        </w:rPr>
        <w:t>MICROSOFT ENTERPRISE SUPPORT ENGINEER</w:t>
      </w:r>
    </w:p>
    <w:p>
      <w:pPr>
        <w:pStyle w:val="ResumeBullet"/>
        <w:widowControl/>
      </w:pPr>
      <w:r>
        <w:rPr>
          <w:rFonts w:ascii="Aptos" w:hAnsi="Aptos"/>
          <w:color w:val="202A2D"/>
          <w:sz w:val="18"/>
        </w:rPr>
        <w:t>Advised strategic enterprise customers across North America on Microsoft platform architecture, availability, security, migration and operational risk.</w:t>
      </w:r>
    </w:p>
    <w:p>
      <w:pPr>
        <w:pStyle w:val="ResumeBullet"/>
        <w:widowControl/>
      </w:pPr>
      <w:r>
        <w:rPr>
          <w:rFonts w:ascii="Aptos" w:hAnsi="Aptos"/>
          <w:color w:val="202A2D"/>
          <w:sz w:val="18"/>
        </w:rPr>
        <w:t>Led complex technical escalations and root-cause engagements, translating findings into durable remediation, governance and service-improvement recommendations.</w:t>
      </w:r>
    </w:p>
    <w:p>
      <w:pPr>
        <w:pStyle w:val="ResumeSection"/>
        <w:pageBreakBefore/>
        <w:widowControl/>
        <w:pBdr>
          <w:left w:val="single" w:sz="10" w:space="4" w:color="16828B"/>
          <w:bottom w:val="single" w:sz="4" w:space="4" w:color="16828B"/>
        </w:pBdr>
      </w:pPr>
      <w:r>
        <w:t>BOARD, GOVERNANCE &amp; ADVISORY LEADERSHIP</w:t>
      </w:r>
    </w:p>
    <w:p>
      <w:pPr>
        <w:pStyle w:val="ResumeBullet"/>
        <w:widowControl/>
      </w:pPr>
      <w:r>
        <w:rPr>
          <w:rFonts w:ascii="Aptos" w:hAnsi="Aptos"/>
          <w:color w:val="202A2D"/>
          <w:sz w:val="18"/>
        </w:rPr>
        <w:t>Translate cybersecurity exposure, cloud investment, operational resilience and regulatory expectations into clear decisions for senior leadership, finance and audit committees, and boards of directors.</w:t>
      </w:r>
    </w:p>
    <w:p>
      <w:pPr>
        <w:pStyle w:val="ResumeBullet"/>
        <w:widowControl/>
      </w:pPr>
      <w:r>
        <w:rPr>
          <w:rFonts w:ascii="Aptos" w:hAnsi="Aptos"/>
          <w:color w:val="202A2D"/>
          <w:sz w:val="18"/>
        </w:rPr>
        <w:t>Develop executive briefing notes, white papers, presentations, roadmaps, dashboards and visual working sessions that make complex technology choices accessible to non-technical stakeholders.</w:t>
      </w:r>
    </w:p>
    <w:p>
      <w:pPr>
        <w:pStyle w:val="ResumeBullet"/>
        <w:widowControl/>
      </w:pPr>
      <w:r>
        <w:rPr>
          <w:rFonts w:ascii="Aptos" w:hAnsi="Aptos"/>
          <w:color w:val="202A2D"/>
          <w:sz w:val="18"/>
        </w:rPr>
        <w:t>Create and refresh enterprise policies and standards covering cybersecurity, technology operations, information and asset use, identity, risk, privacy and service accountability.</w:t>
      </w:r>
    </w:p>
    <w:p>
      <w:pPr>
        <w:pStyle w:val="ResumeBullet"/>
        <w:widowControl/>
      </w:pPr>
      <w:r>
        <w:rPr>
          <w:rFonts w:ascii="Aptos" w:hAnsi="Aptos"/>
          <w:color w:val="202A2D"/>
          <w:sz w:val="18"/>
        </w:rPr>
        <w:t>Build performance plans, leadership-development priorities and succession strategies that strengthen management depth, retain institutional knowledge and create sustainable operating capacity.</w:t>
      </w:r>
    </w:p>
    <w:p>
      <w:pPr>
        <w:pStyle w:val="ResumeBullet"/>
        <w:widowControl/>
      </w:pPr>
      <w:r>
        <w:rPr>
          <w:rFonts w:ascii="Aptos" w:hAnsi="Aptos"/>
          <w:color w:val="202A2D"/>
          <w:sz w:val="18"/>
        </w:rPr>
        <w:t>Guide responsible AI adoption by connecting business opportunity with information protection, privacy, human oversight, vendor risk and organizational governance.</w:t>
      </w:r>
    </w:p>
    <w:p>
      <w:pPr>
        <w:pStyle w:val="ResumeBullet"/>
        <w:widowControl/>
      </w:pPr>
      <w:r>
        <w:rPr>
          <w:rFonts w:ascii="Aptos" w:hAnsi="Aptos"/>
          <w:color w:val="202A2D"/>
          <w:sz w:val="18"/>
        </w:rPr>
        <w:t>Bring an adaptable fractional CIO/CISO advisory model: assess current state, establish priorities, build an actionable roadmap, strengthen governance and transfer capability to internal leaders.</w:t>
      </w:r>
    </w:p>
    <w:p>
      <w:pPr>
        <w:pStyle w:val="ResumeSection"/>
        <w:widowControl/>
        <w:pBdr>
          <w:left w:val="single" w:sz="10" w:space="4" w:color="16828B"/>
          <w:bottom w:val="single" w:sz="4" w:space="4" w:color="16828B"/>
        </w:pBdr>
      </w:pPr>
      <w:r>
        <w:t>EDUCATION &amp; EXECUTIVE CREDENTIALS</w:t>
      </w:r>
    </w:p>
    <w:tbl>
      <w:tblPr>
        <w:tblW w:type="dxa" w:w="10224"/>
        <w:jc w:val="center"/>
        <w:tblLayout w:type="fixed"/>
        <w:tblLook w:firstColumn="1" w:firstRow="1" w:lastColumn="0" w:lastRow="0" w:noHBand="0" w:noVBand="1" w:val="04A0"/>
      </w:tblPr>
      <w:tblGrid>
        <w:gridCol w:w="3100"/>
        <w:gridCol w:w="7124"/>
      </w:tblGrid>
      <w:tr>
        <w:tc>
          <w:tcPr>
            <w:tcW w:type="dxa" w:w="3100"/>
            <w:tcMar>
              <w:top w:w="50" w:type="dxa"/>
              <w:start w:w="90" w:type="dxa"/>
              <w:bottom w:w="50" w:type="dxa"/>
              <w:end w:w="90" w:type="dxa"/>
            </w:tcMar>
            <w:shd w:fill="E5F0F0"/>
          </w:tcPr>
          <w:p>
            <w:pPr>
              <w:spacing w:after="0"/>
            </w:pPr>
            <w:r>
              <w:rPr>
                <w:rFonts w:ascii="Aptos" w:hAnsi="Aptos"/>
                <w:b/>
                <w:color w:val="17333A"/>
                <w:sz w:val="17"/>
              </w:rPr>
              <w:t>Master of Science</w:t>
            </w:r>
          </w:p>
        </w:tc>
        <w:tc>
          <w:tcPr>
            <w:tcW w:type="dxa" w:w="7124"/>
            <w:tcMar>
              <w:top w:w="50" w:type="dxa"/>
              <w:start w:w="90" w:type="dxa"/>
              <w:bottom w:w="50" w:type="dxa"/>
              <w:end w:w="90" w:type="dxa"/>
            </w:tcMar>
          </w:tcPr>
          <w:p>
            <w:pPr>
              <w:spacing w:after="0"/>
            </w:pPr>
            <w:r>
              <w:rPr>
                <w:rFonts w:ascii="Aptos" w:hAnsi="Aptos"/>
                <w:color w:val="202A2D"/>
                <w:sz w:val="17"/>
              </w:rPr>
              <w:t>Information Technology — Capella University</w:t>
            </w:r>
          </w:p>
        </w:tc>
      </w:tr>
      <w:tr>
        <w:tc>
          <w:tcPr>
            <w:tcW w:type="dxa" w:w="3100"/>
            <w:tcMar>
              <w:top w:w="50" w:type="dxa"/>
              <w:start w:w="90" w:type="dxa"/>
              <w:bottom w:w="50" w:type="dxa"/>
              <w:end w:w="90" w:type="dxa"/>
            </w:tcMar>
            <w:shd w:fill="E5F0F0"/>
          </w:tcPr>
          <w:p>
            <w:pPr>
              <w:spacing w:after="0"/>
            </w:pPr>
            <w:r>
              <w:rPr>
                <w:rFonts w:ascii="Aptos" w:hAnsi="Aptos"/>
                <w:b/>
                <w:color w:val="17333A"/>
                <w:sz w:val="17"/>
              </w:rPr>
              <w:t>Master’s Certificate</w:t>
            </w:r>
          </w:p>
        </w:tc>
        <w:tc>
          <w:tcPr>
            <w:tcW w:type="dxa" w:w="7124"/>
            <w:tcMar>
              <w:top w:w="50" w:type="dxa"/>
              <w:start w:w="90" w:type="dxa"/>
              <w:bottom w:w="50" w:type="dxa"/>
              <w:end w:w="90" w:type="dxa"/>
            </w:tcMar>
          </w:tcPr>
          <w:p>
            <w:pPr>
              <w:spacing w:after="0"/>
            </w:pPr>
            <w:r>
              <w:rPr>
                <w:rFonts w:ascii="Aptos" w:hAnsi="Aptos"/>
                <w:color w:val="202A2D"/>
                <w:sz w:val="17"/>
              </w:rPr>
              <w:t>Project Management — York University, Schulich School of Business</w:t>
            </w:r>
          </w:p>
        </w:tc>
      </w:tr>
      <w:tr>
        <w:tc>
          <w:tcPr>
            <w:tcW w:type="dxa" w:w="3100"/>
            <w:tcMar>
              <w:top w:w="50" w:type="dxa"/>
              <w:start w:w="90" w:type="dxa"/>
              <w:bottom w:w="50" w:type="dxa"/>
              <w:end w:w="90" w:type="dxa"/>
            </w:tcMar>
            <w:shd w:fill="E5F0F0"/>
          </w:tcPr>
          <w:p>
            <w:pPr>
              <w:spacing w:after="0"/>
            </w:pPr>
            <w:r>
              <w:rPr>
                <w:rFonts w:ascii="Aptos" w:hAnsi="Aptos"/>
                <w:b/>
                <w:color w:val="17333A"/>
                <w:sz w:val="17"/>
              </w:rPr>
              <w:t>Bachelor of Engineering</w:t>
            </w:r>
          </w:p>
        </w:tc>
        <w:tc>
          <w:tcPr>
            <w:tcW w:type="dxa" w:w="7124"/>
            <w:tcMar>
              <w:top w:w="50" w:type="dxa"/>
              <w:start w:w="90" w:type="dxa"/>
              <w:bottom w:w="50" w:type="dxa"/>
              <w:end w:w="90" w:type="dxa"/>
            </w:tcMar>
          </w:tcPr>
          <w:p>
            <w:pPr>
              <w:spacing w:after="0"/>
            </w:pPr>
            <w:r>
              <w:rPr>
                <w:rFonts w:ascii="Aptos" w:hAnsi="Aptos"/>
                <w:color w:val="202A2D"/>
                <w:sz w:val="17"/>
              </w:rPr>
              <w:t>University of Gulbarga</w:t>
            </w:r>
          </w:p>
        </w:tc>
      </w:tr>
    </w:tbl>
    <w:p>
      <w:pPr>
        <w:pStyle w:val="ResumeSection"/>
        <w:widowControl/>
        <w:pBdr>
          <w:left w:val="single" w:sz="10" w:space="4" w:color="16828B"/>
          <w:bottom w:val="single" w:sz="4" w:space="4" w:color="16828B"/>
        </w:pBdr>
      </w:pPr>
      <w:r>
        <w:t>PROFESSIONAL CERTIFICATIONS</w:t>
      </w:r>
    </w:p>
    <w:p>
      <w:pPr>
        <w:widowControl/>
        <w:spacing w:after="60"/>
        <w:jc w:val="center"/>
      </w:pPr>
      <w:r>
        <w:rPr>
          <w:rFonts w:ascii="Aptos" w:hAnsi="Aptos"/>
          <w:b/>
          <w:color w:val="17333A"/>
          <w:sz w:val="18"/>
        </w:rPr>
        <w:t>CISSP  |  CISM  |  CISA  |  CDPSE  |  PMP  |  PMI-RMP  |  CCISO  |  AWS Certified Cloud Practitioner  |  CCNA  |  ITIL Foundation</w:t>
      </w:r>
    </w:p>
    <w:p>
      <w:pPr>
        <w:widowControl/>
        <w:spacing w:after="60"/>
        <w:jc w:val="center"/>
      </w:pPr>
      <w:r>
        <w:rPr>
          <w:rFonts w:ascii="Aptos" w:hAnsi="Aptos"/>
          <w:b w:val="0"/>
          <w:i/>
          <w:color w:val="17333A"/>
          <w:sz w:val="18"/>
        </w:rPr>
        <w:t>Earlier Microsoft credentials:  MCSE  |  MCT (SharePoint, Exchange)</w:t>
      </w:r>
    </w:p>
    <w:p>
      <w:pPr>
        <w:pStyle w:val="ResumeSection"/>
        <w:widowControl/>
        <w:pBdr>
          <w:left w:val="single" w:sz="10" w:space="4" w:color="16828B"/>
          <w:bottom w:val="single" w:sz="4" w:space="4" w:color="16828B"/>
        </w:pBdr>
      </w:pPr>
      <w:r>
        <w:t>CURRENT TECHNOLOGY &amp; TRANSFORMATION DOMAINS</w:t>
      </w:r>
    </w:p>
    <w:p>
      <w:pPr>
        <w:widowControl/>
        <w:jc w:val="center"/>
      </w:pPr>
      <w:r>
        <w:rPr>
          <w:rFonts w:ascii="Aptos" w:hAnsi="Aptos"/>
          <w:color w:val="667479"/>
          <w:sz w:val="17"/>
        </w:rPr>
        <w:t>AWS Architecture  |  Azure Architecture  |  Hybrid Cloud  |  Kubernetes  |  Platform Modernization  |  Microsoft 365  |  Entra ID  |  Microsoft Defender  |  Copilot  |  AI Governance  |  Zero Trust  |  IAM  |  DevSecOps  |  CI/CD  |  Salesforce  |  Cloud Security  |  GRC  |  Cyber Resilience</w:t>
      </w:r>
    </w:p>
    <w:sectPr w:rsidR="00FC693F" w:rsidRPr="0006063C" w:rsidSect="00034616">
      <w:headerReference w:type="default" r:id="rId9"/>
      <w:footerReference w:type="default" r:id="rId10"/>
      <w:pgSz w:w="12240" w:h="15840"/>
      <w:pgMar w:top="691" w:right="1008" w:bottom="691"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9"/>
        <w:sz w:val="15"/>
      </w:rPr>
      <w:t>Richmond, British Columbia, Canada  •  672-514-1723  •  mohinder@thesasans.com  •  ai.singhnet@gmail.com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16828B"/>
        <w:sz w:val="15"/>
      </w:rPr>
      <w:t>MOHINDER SINGH SASAN  /  EXECUTIVE PROFILE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multiLevelType w:val="singleLevel"/>
    <w:lvl w:ilvl="0">
      <w:start w:val="1"/>
      <w:numFmt w:val="bullet"/>
      <w:lvlText w:val="•"/>
      <w:lvlJc w:val="left"/>
      <w:pPr>
        <w:tabs>
          <w:tab w:val="num" w:pos="260"/>
        </w:tabs>
        <w:ind w:left="260" w:hanging="180"/>
      </w:pPr>
      <w:rPr>
        <w:rFonts w:ascii="Aptos" w:hAnsi="Aptos"/>
      </w:rPr>
    </w:lvl>
  </w:abstract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Aptos" w:hAnsi="Aptos"/>
      <w:color w:val="202A2D"/>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pPr>
      <w:keepNext/>
      <w:spacing w:before="140" w:after="60"/>
      <w:ind w:left="115"/>
    </w:pPr>
    <w:rPr>
      <w:rFonts w:ascii="Aptos Display" w:hAnsi="Aptos Display"/>
      <w:b/>
      <w:color w:val="17333A"/>
      <w:sz w:val="20"/>
    </w:rPr>
  </w:style>
  <w:style w:type="paragraph" w:customStyle="1" w:styleId="ResumeBullet">
    <w:name w:val="Resume Bullet"/>
    <w:pPr>
      <w:spacing w:after="48" w:line="245" w:lineRule="auto"/>
      <w:ind w:left="259" w:hanging="259"/>
      <w:numPr>
        <w:ilvl w:val="0"/>
        <w:numId w:val="42"/>
      </w:numPr>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Mohinder Singh Sasan - Technology &amp; Cybersecurity Executive Resume</dc:title>
  <dc:subject>Executive resume with leadership brand banner</dc:subject>
  <dc:creator>Mohinder Singh Sasan</dc:creator>
  <cp:keywords>Technology Executive, CIO, CISO, Cybersecurity, IT Operations, AWS, Azure, AI Governance, GRC, Infrastructure, Cloud, Resilience</cp:keywords>
  <dc:description/>
  <cp:lastModifiedBy/>
  <cp:revision>1</cp:revision>
  <dcterms:created xsi:type="dcterms:W3CDTF">2013-12-23T23:15:00Z</dcterms:created>
  <dcterms:modified xsi:type="dcterms:W3CDTF">2013-12-23T23:15:00Z</dcterms:modified>
  <cp:category/>
</cp:coreProperties>
</file>